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05" w:rsidRDefault="00F93605" w:rsidP="00F93605">
      <w:pPr>
        <w:ind w:left="4956" w:firstLine="708"/>
      </w:pPr>
      <w:r>
        <w:t>Montpellier, le 13/01/2020,</w:t>
      </w:r>
    </w:p>
    <w:p w:rsidR="00401D75" w:rsidRDefault="00401D75" w:rsidP="00F93605">
      <w:pPr>
        <w:jc w:val="center"/>
      </w:pPr>
      <w:r>
        <w:t>Mesdames, Messieurs les députés de notre belle Nation La France,</w:t>
      </w:r>
    </w:p>
    <w:p w:rsidR="00401D75" w:rsidRDefault="00401D75">
      <w:r>
        <w:t xml:space="preserve">Vous avez pour certains connus la guerre avec les armes et les bombes, les déportations. </w:t>
      </w:r>
    </w:p>
    <w:p w:rsidR="00401D75" w:rsidRPr="00B94894" w:rsidRDefault="00401D75">
      <w:pPr>
        <w:rPr>
          <w:b/>
        </w:rPr>
      </w:pPr>
      <w:r>
        <w:t xml:space="preserve">Aujourd’hui, nous vivons ce que j’appelle une très belle guerre et </w:t>
      </w:r>
      <w:r w:rsidRPr="00B94894">
        <w:rPr>
          <w:b/>
        </w:rPr>
        <w:t xml:space="preserve">la « résistance » n’a jamais été aussi </w:t>
      </w:r>
      <w:r w:rsidR="00784594">
        <w:rPr>
          <w:b/>
        </w:rPr>
        <w:t>« </w:t>
      </w:r>
      <w:r w:rsidRPr="00B94894">
        <w:rPr>
          <w:b/>
        </w:rPr>
        <w:t>facile</w:t>
      </w:r>
      <w:r w:rsidR="00784594">
        <w:rPr>
          <w:b/>
        </w:rPr>
        <w:t> » (ou difficile si personne ne se positionne ?)</w:t>
      </w:r>
      <w:r w:rsidRPr="00B94894">
        <w:rPr>
          <w:b/>
        </w:rPr>
        <w:t>.</w:t>
      </w:r>
    </w:p>
    <w:p w:rsidR="00B94894" w:rsidRDefault="00401D75">
      <w:r>
        <w:t xml:space="preserve">Il faut simplement en avoir la volonté mentale une fois qu’on est convaincu que ceci n’est </w:t>
      </w:r>
      <w:r w:rsidR="00784594">
        <w:t xml:space="preserve">qu’une </w:t>
      </w:r>
      <w:r>
        <w:t>vague histoire de peur qui nous a</w:t>
      </w:r>
      <w:r w:rsidR="00784594">
        <w:t>,</w:t>
      </w:r>
      <w:r>
        <w:t xml:space="preserve"> pour un certain nombre</w:t>
      </w:r>
      <w:r w:rsidR="00784594">
        <w:t>,</w:t>
      </w:r>
      <w:r>
        <w:t xml:space="preserve"> </w:t>
      </w:r>
      <w:r w:rsidR="00B94894">
        <w:t xml:space="preserve">totalement </w:t>
      </w:r>
      <w:r>
        <w:t xml:space="preserve">dépassée. </w:t>
      </w:r>
    </w:p>
    <w:p w:rsidR="00401D75" w:rsidRDefault="00401D75">
      <w:r>
        <w:t xml:space="preserve">Comme je dis, la bête féroce de la peur a envahi nos vies. </w:t>
      </w:r>
    </w:p>
    <w:p w:rsidR="00401D75" w:rsidRDefault="00401D75">
      <w:r>
        <w:t xml:space="preserve">Je suis </w:t>
      </w:r>
      <w:r w:rsidR="00B94894">
        <w:t>Denis AGRET</w:t>
      </w:r>
      <w:r w:rsidR="00784594">
        <w:t>, spécialiste en</w:t>
      </w:r>
      <w:r w:rsidR="00B94894">
        <w:t xml:space="preserve"> </w:t>
      </w:r>
      <w:r>
        <w:t>médecin</w:t>
      </w:r>
      <w:r w:rsidR="00784594">
        <w:t>e générale,</w:t>
      </w:r>
      <w:r>
        <w:t xml:space="preserve"> urgentiste et santé publique, reçu 3</w:t>
      </w:r>
      <w:r w:rsidRPr="00401D75">
        <w:rPr>
          <w:vertAlign w:val="superscript"/>
        </w:rPr>
        <w:t>ème</w:t>
      </w:r>
      <w:r>
        <w:t xml:space="preserve"> en 1</w:t>
      </w:r>
      <w:r w:rsidRPr="00401D75">
        <w:rPr>
          <w:vertAlign w:val="superscript"/>
        </w:rPr>
        <w:t>ère</w:t>
      </w:r>
      <w:r>
        <w:t xml:space="preserve"> année et </w:t>
      </w:r>
      <w:proofErr w:type="spellStart"/>
      <w:r>
        <w:t>thésé</w:t>
      </w:r>
      <w:proofErr w:type="spellEnd"/>
      <w:r>
        <w:t xml:space="preserve"> en 2006 à La Faculté de Médecine de Montpellier</w:t>
      </w:r>
      <w:r w:rsidR="00784594">
        <w:t>, 2 internats de santé publique et médecine générale validé</w:t>
      </w:r>
      <w:r>
        <w:t xml:space="preserve">. </w:t>
      </w:r>
    </w:p>
    <w:p w:rsidR="00401D75" w:rsidRDefault="00401D75">
      <w:r>
        <w:t>J’ai travaillé pendant 14 ans en tant que médecin urgentiste à l’hôpital public et également responsable de l’information médicale</w:t>
      </w:r>
      <w:r w:rsidR="00784594">
        <w:t xml:space="preserve"> (DIM)</w:t>
      </w:r>
      <w:r>
        <w:t xml:space="preserve"> qui alimente tous les mois les </w:t>
      </w:r>
      <w:r w:rsidR="00681CD7">
        <w:t>bases</w:t>
      </w:r>
      <w:r>
        <w:t xml:space="preserve"> de données médicales nationales</w:t>
      </w:r>
      <w:r w:rsidR="00784594">
        <w:t xml:space="preserve"> (T2A tarification à l’activité)</w:t>
      </w:r>
      <w:r>
        <w:t xml:space="preserve">. </w:t>
      </w:r>
    </w:p>
    <w:p w:rsidR="00401D75" w:rsidRDefault="00401D75">
      <w:r>
        <w:t>Depuis septembre 2018, je travaille pour La Fondation Partage et Vie en tant que médecin responsable de l’information médicale de 4 centres de rééducation (SSR).</w:t>
      </w:r>
    </w:p>
    <w:p w:rsidR="00681CD7" w:rsidRDefault="00681CD7">
      <w:r>
        <w:t>La Fondation détient également 83 EHPAD dans lesquels j’ai été sollicité pour prêter main forte depuis le mois de mars</w:t>
      </w:r>
      <w:r w:rsidR="00784594">
        <w:t xml:space="preserve"> 2020</w:t>
      </w:r>
      <w:r>
        <w:t xml:space="preserve"> à distance et également en renfort clinique dans certains établissements </w:t>
      </w:r>
      <w:r w:rsidR="00784594">
        <w:t xml:space="preserve">en </w:t>
      </w:r>
      <w:r>
        <w:t>octobre</w:t>
      </w:r>
      <w:r w:rsidR="00784594">
        <w:t>,</w:t>
      </w:r>
      <w:r>
        <w:t xml:space="preserve"> novembre</w:t>
      </w:r>
      <w:r w:rsidR="00784594">
        <w:t xml:space="preserve"> 2020</w:t>
      </w:r>
      <w:r>
        <w:t xml:space="preserve">. </w:t>
      </w:r>
    </w:p>
    <w:p w:rsidR="00681CD7" w:rsidRDefault="00681CD7">
      <w:r>
        <w:t>Suite à la parution des chiffres de mortalité globale de l’INSE</w:t>
      </w:r>
      <w:r w:rsidR="00784594">
        <w:t>E et au pic du mois d’avril,</w:t>
      </w:r>
      <w:r>
        <w:t xml:space="preserve"> je me suis intéressé à nos chiffres de mortalité en comparant 2019 à 2020. </w:t>
      </w:r>
    </w:p>
    <w:p w:rsidR="00681CD7" w:rsidRDefault="002F4EEE">
      <w:hyperlink r:id="rId5" w:history="1">
        <w:r w:rsidR="00681CD7" w:rsidRPr="005E1E4C">
          <w:rPr>
            <w:rStyle w:val="Lienhypertexte"/>
          </w:rPr>
          <w:t>https://www.insee.fr/fr/statistiques/4931039?sommaire=4487854</w:t>
        </w:r>
      </w:hyperlink>
    </w:p>
    <w:p w:rsidR="008E5F9E" w:rsidRDefault="008E5F9E">
      <w:r>
        <w:rPr>
          <w:noProof/>
          <w:lang w:eastAsia="fr-FR"/>
        </w:rPr>
        <w:lastRenderedPageBreak/>
        <w:drawing>
          <wp:inline distT="0" distB="0" distL="0" distR="0">
            <wp:extent cx="2676525" cy="3674551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4" cy="36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D7" w:rsidRDefault="00681CD7">
      <w:r>
        <w:t xml:space="preserve">Il est important de comprendre que </w:t>
      </w:r>
      <w:r w:rsidRPr="00784594">
        <w:rPr>
          <w:u w:val="single"/>
        </w:rPr>
        <w:t>l’</w:t>
      </w:r>
      <w:r w:rsidR="008E5F9E" w:rsidRPr="00784594">
        <w:rPr>
          <w:u w:val="single"/>
        </w:rPr>
        <w:t>E</w:t>
      </w:r>
      <w:r w:rsidRPr="00784594">
        <w:rPr>
          <w:u w:val="single"/>
        </w:rPr>
        <w:t>tat ne détient pas de base de données de mortalité des EHPAD</w:t>
      </w:r>
      <w:r>
        <w:t>. Les chiffres ne peuvent être extrapolé qu’à partir du dépouillement des certificats de d</w:t>
      </w:r>
      <w:r w:rsidR="008E5F9E">
        <w:t>écès ce qui est un biais majeur</w:t>
      </w:r>
      <w:r>
        <w:t xml:space="preserve">. </w:t>
      </w:r>
    </w:p>
    <w:p w:rsidR="00681CD7" w:rsidRDefault="00681CD7">
      <w:r>
        <w:t xml:space="preserve">Les EHPAD représentent environ 7 200 établissements en France. </w:t>
      </w:r>
    </w:p>
    <w:p w:rsidR="00681CD7" w:rsidRDefault="00DD2E7B">
      <w:proofErr w:type="spellStart"/>
      <w:r>
        <w:t>Korian</w:t>
      </w:r>
      <w:proofErr w:type="spellEnd"/>
      <w:r>
        <w:t xml:space="preserve">, </w:t>
      </w:r>
      <w:proofErr w:type="spellStart"/>
      <w:r>
        <w:t>Orpéa</w:t>
      </w:r>
      <w:proofErr w:type="spellEnd"/>
      <w:r>
        <w:t xml:space="preserve">, </w:t>
      </w:r>
      <w:proofErr w:type="spellStart"/>
      <w:r>
        <w:t>Do</w:t>
      </w:r>
      <w:r w:rsidR="00681CD7">
        <w:t>mus</w:t>
      </w:r>
      <w:proofErr w:type="spellEnd"/>
      <w:r w:rsidR="00681CD7">
        <w:t xml:space="preserve"> Vi représentent à eux seuls 700 EHPAD. </w:t>
      </w:r>
    </w:p>
    <w:p w:rsidR="00681CD7" w:rsidRDefault="00DD2E7B">
      <w:r>
        <w:t>Nos chiffres de mortalité à</w:t>
      </w:r>
      <w:r w:rsidR="00681CD7">
        <w:t xml:space="preserve"> La Fondation sont</w:t>
      </w:r>
      <w:r>
        <w:t>, comme je le qualifie,</w:t>
      </w:r>
      <w:r w:rsidR="00681CD7">
        <w:t xml:space="preserve"> extrêmement rassurants en mortalité globale</w:t>
      </w:r>
      <w:r>
        <w:t xml:space="preserve"> (période à ma disposition à ce jour du </w:t>
      </w:r>
      <w:r w:rsidRPr="00DD2E7B">
        <w:t>01/11/2018 au 31/10/2019</w:t>
      </w:r>
      <w:r>
        <w:t xml:space="preserve"> et d</w:t>
      </w:r>
      <w:r w:rsidRPr="00DD2E7B">
        <w:t>u 01/11/2019 au 31/10/2020</w:t>
      </w:r>
      <w:r>
        <w:t xml:space="preserve">, mon accès informatique ayant été bloqué soudainement </w:t>
      </w:r>
      <w:r w:rsidR="00784594">
        <w:t xml:space="preserve">et arbitrairement </w:t>
      </w:r>
      <w:r>
        <w:t>par ma direction</w:t>
      </w:r>
      <w:r w:rsidR="00784594">
        <w:t xml:space="preserve"> le 09/12/2020</w:t>
      </w:r>
      <w:r>
        <w:t>…)</w:t>
      </w:r>
      <w:r w:rsidR="00681CD7">
        <w:t>.</w:t>
      </w:r>
    </w:p>
    <w:p w:rsidR="00681CD7" w:rsidRDefault="00681CD7">
      <w:r>
        <w:t xml:space="preserve">Je me suis évertué </w:t>
      </w:r>
      <w:r w:rsidR="008E5F9E">
        <w:t>dès le 25 novembre</w:t>
      </w:r>
      <w:r w:rsidR="00784594">
        <w:t xml:space="preserve"> par mail</w:t>
      </w:r>
      <w:r w:rsidR="008E5F9E">
        <w:t xml:space="preserve"> </w:t>
      </w:r>
      <w:r>
        <w:t xml:space="preserve">à solliciter mon directeur Dominique Monneron pour regarder ensemble ces chiffres </w:t>
      </w:r>
      <w:r w:rsidR="00DD2E7B">
        <w:t xml:space="preserve">et </w:t>
      </w:r>
      <w:r>
        <w:t xml:space="preserve">pour en parler publiquement. </w:t>
      </w:r>
    </w:p>
    <w:p w:rsidR="00681CD7" w:rsidRDefault="00681CD7">
      <w:r>
        <w:t xml:space="preserve">Il m’a reçu au siège à Montrouge le 02 décembre. </w:t>
      </w:r>
    </w:p>
    <w:p w:rsidR="00681CD7" w:rsidRDefault="00681CD7">
      <w:r>
        <w:t>La première chose qu’il m’a dite et qu’il met en œuvre actuellement : « je vais mettre fin à votre collaboration = je vais vous virer ! »</w:t>
      </w:r>
      <w:r w:rsidR="00784594">
        <w:t xml:space="preserve">. Il s’agit d’un </w:t>
      </w:r>
      <w:r w:rsidR="00784594" w:rsidRPr="00784594">
        <w:rPr>
          <w:b/>
          <w:u w:val="single"/>
        </w:rPr>
        <w:t xml:space="preserve">licenciement sans fondement, arbitraire, un abus de pouvoir </w:t>
      </w:r>
      <w:proofErr w:type="spellStart"/>
      <w:r w:rsidR="00784594" w:rsidRPr="00784594">
        <w:rPr>
          <w:b/>
          <w:u w:val="single"/>
        </w:rPr>
        <w:t>manisfeste</w:t>
      </w:r>
      <w:proofErr w:type="spellEnd"/>
      <w:r w:rsidR="00784594" w:rsidRPr="00784594">
        <w:rPr>
          <w:b/>
          <w:u w:val="single"/>
        </w:rPr>
        <w:t> !</w:t>
      </w:r>
    </w:p>
    <w:p w:rsidR="00681CD7" w:rsidRDefault="00DD2E7B">
      <w:r>
        <w:t>La deuxième chose</w:t>
      </w:r>
      <w:r w:rsidR="00681CD7">
        <w:t xml:space="preserve"> : « nous connaissons les chiffres mais nous n’en parlerons pas ». </w:t>
      </w:r>
    </w:p>
    <w:p w:rsidR="00DD2E7B" w:rsidRDefault="00DD2E7B">
      <w:r>
        <w:t xml:space="preserve">Alors je vous en parle. </w:t>
      </w:r>
    </w:p>
    <w:p w:rsidR="00784594" w:rsidRDefault="00DD2E7B">
      <w:pPr>
        <w:rPr>
          <w:b/>
          <w:u w:val="single"/>
        </w:rPr>
      </w:pPr>
      <w:r>
        <w:t xml:space="preserve">Comme je lui ai dit, </w:t>
      </w:r>
      <w:r w:rsidRPr="008E5F9E">
        <w:rPr>
          <w:b/>
          <w:u w:val="single"/>
        </w:rPr>
        <w:t xml:space="preserve">J’AI FAIT MON DIAGNOSTIC ! </w:t>
      </w:r>
    </w:p>
    <w:p w:rsidR="00784594" w:rsidRDefault="00DD2E7B">
      <w:pPr>
        <w:rPr>
          <w:b/>
          <w:u w:val="single"/>
        </w:rPr>
      </w:pPr>
      <w:r w:rsidRPr="008E5F9E">
        <w:rPr>
          <w:b/>
          <w:u w:val="single"/>
        </w:rPr>
        <w:t>EN tant que médecin, il est de mon devoir de vous en parler, simplement et courageusement</w:t>
      </w:r>
      <w:r w:rsidR="00784594">
        <w:t xml:space="preserve">. </w:t>
      </w:r>
      <w:r w:rsidR="00784594" w:rsidRPr="00784594">
        <w:rPr>
          <w:b/>
          <w:u w:val="single"/>
        </w:rPr>
        <w:t xml:space="preserve">Cette épidémie n’est pas grave ! </w:t>
      </w:r>
    </w:p>
    <w:p w:rsidR="00DD2E7B" w:rsidRDefault="00784594">
      <w:pPr>
        <w:rPr>
          <w:b/>
          <w:u w:val="single"/>
        </w:rPr>
      </w:pPr>
      <w:r w:rsidRPr="00784594">
        <w:rPr>
          <w:b/>
          <w:u w:val="single"/>
        </w:rPr>
        <w:lastRenderedPageBreak/>
        <w:t>Ce qui est grave ce sont les mesures restrictives et punitives mise en œuvre</w:t>
      </w:r>
      <w:r>
        <w:rPr>
          <w:b/>
          <w:u w:val="single"/>
        </w:rPr>
        <w:t> : la peur, l’oppression et la répression</w:t>
      </w:r>
      <w:r w:rsidRPr="00784594">
        <w:rPr>
          <w:b/>
          <w:u w:val="single"/>
        </w:rPr>
        <w:t>.</w:t>
      </w:r>
    </w:p>
    <w:p w:rsidR="00784594" w:rsidRDefault="00784594">
      <w:pPr>
        <w:rPr>
          <w:b/>
          <w:u w:val="single"/>
        </w:rPr>
      </w:pPr>
    </w:p>
    <w:p w:rsidR="00784594" w:rsidRPr="00784594" w:rsidRDefault="00784594">
      <w:r w:rsidRPr="00784594">
        <w:t>Voici mon analyse :</w:t>
      </w:r>
    </w:p>
    <w:p w:rsidR="00B94894" w:rsidRPr="00B94894" w:rsidRDefault="00DD2E7B">
      <w:pPr>
        <w:rPr>
          <w:u w:val="single"/>
        </w:rPr>
      </w:pPr>
      <w:r w:rsidRPr="00B94894">
        <w:rPr>
          <w:u w:val="single"/>
        </w:rPr>
        <w:t xml:space="preserve">L’épidémiologie descriptive rétrospective est un socle ! </w:t>
      </w:r>
    </w:p>
    <w:p w:rsidR="00DD2E7B" w:rsidRPr="00B94894" w:rsidRDefault="00DD2E7B">
      <w:pPr>
        <w:rPr>
          <w:u w:val="single"/>
        </w:rPr>
      </w:pPr>
      <w:r w:rsidRPr="00B94894">
        <w:rPr>
          <w:u w:val="single"/>
        </w:rPr>
        <w:t xml:space="preserve">Elle </w:t>
      </w:r>
      <w:r w:rsidR="00B94894" w:rsidRPr="00B94894">
        <w:rPr>
          <w:u w:val="single"/>
        </w:rPr>
        <w:t xml:space="preserve">ne </w:t>
      </w:r>
      <w:r w:rsidRPr="00B94894">
        <w:rPr>
          <w:u w:val="single"/>
        </w:rPr>
        <w:t xml:space="preserve">peut pas être </w:t>
      </w:r>
      <w:r w:rsidR="008E5F9E" w:rsidRPr="00B94894">
        <w:rPr>
          <w:u w:val="single"/>
        </w:rPr>
        <w:t>contestée</w:t>
      </w:r>
      <w:r w:rsidRPr="00B94894">
        <w:rPr>
          <w:u w:val="single"/>
        </w:rPr>
        <w:t xml:space="preserve">, elle repose </w:t>
      </w:r>
      <w:r w:rsidR="008E5F9E" w:rsidRPr="00B94894">
        <w:rPr>
          <w:u w:val="single"/>
        </w:rPr>
        <w:t xml:space="preserve">sur </w:t>
      </w:r>
      <w:r w:rsidRPr="00B94894">
        <w:rPr>
          <w:u w:val="single"/>
        </w:rPr>
        <w:t xml:space="preserve">des faits ! C’est un roc. </w:t>
      </w:r>
    </w:p>
    <w:p w:rsidR="00DD2E7B" w:rsidRDefault="00DD2E7B">
      <w:r>
        <w:t xml:space="preserve">L’interprétation viendra dans un deuxième temps. </w:t>
      </w:r>
    </w:p>
    <w:p w:rsidR="00DD2E7B" w:rsidRDefault="00DD2E7B" w:rsidP="009B5921">
      <w:pPr>
        <w:pStyle w:val="Paragraphedeliste"/>
        <w:numPr>
          <w:ilvl w:val="0"/>
          <w:numId w:val="8"/>
        </w:numPr>
      </w:pPr>
      <w:r>
        <w:t xml:space="preserve">La mortalité en 2019 est de 1540 décès, en 2020 1669 décès, soit une augmentation en pourcentage de 8% et en nombre de + 129 décès, soit +1,5 décès par EHPAD (129/83). </w:t>
      </w:r>
    </w:p>
    <w:p w:rsidR="00DD2E7B" w:rsidRDefault="00DD2E7B">
      <w:r>
        <w:t xml:space="preserve">J’ai également </w:t>
      </w:r>
      <w:r w:rsidR="00784594">
        <w:t xml:space="preserve">regardé </w:t>
      </w:r>
      <w:r w:rsidRPr="00CB772B">
        <w:rPr>
          <w:u w:val="single"/>
        </w:rPr>
        <w:t>la mortalité par classe d’</w:t>
      </w:r>
      <w:r w:rsidR="00CB772B" w:rsidRPr="00CB772B">
        <w:rPr>
          <w:u w:val="single"/>
        </w:rPr>
        <w:t xml:space="preserve">âge de 5 ans, </w:t>
      </w:r>
      <w:r w:rsidRPr="00CB772B">
        <w:rPr>
          <w:u w:val="single"/>
        </w:rPr>
        <w:t xml:space="preserve">qui n’est absolument pas disponible </w:t>
      </w:r>
      <w:r>
        <w:t xml:space="preserve">à ce jour sur </w:t>
      </w:r>
      <w:proofErr w:type="spellStart"/>
      <w:r>
        <w:t>santepubliquefrance</w:t>
      </w:r>
      <w:proofErr w:type="spellEnd"/>
      <w:r>
        <w:t> !</w:t>
      </w:r>
      <w:r w:rsidR="00CB772B">
        <w:t>?</w:t>
      </w:r>
      <w:r w:rsidR="002336A0">
        <w:t xml:space="preserve"> </w:t>
      </w:r>
    </w:p>
    <w:p w:rsidR="002336A0" w:rsidRDefault="002336A0">
      <w:r>
        <w:t xml:space="preserve">Ceci est un </w:t>
      </w:r>
      <w:r w:rsidRPr="00784594">
        <w:rPr>
          <w:b/>
        </w:rPr>
        <w:t>manque de transparence évident</w:t>
      </w:r>
      <w:r w:rsidR="009B5921">
        <w:rPr>
          <w:b/>
        </w:rPr>
        <w:t xml:space="preserve"> </w:t>
      </w:r>
      <w:r>
        <w:t xml:space="preserve">! </w:t>
      </w:r>
      <w:proofErr w:type="gramStart"/>
      <w:r>
        <w:t>par</w:t>
      </w:r>
      <w:proofErr w:type="gramEnd"/>
      <w:r>
        <w:t xml:space="preserve"> peur ou par omission ? </w:t>
      </w:r>
    </w:p>
    <w:p w:rsidR="002336A0" w:rsidRDefault="002336A0">
      <w:r>
        <w:rPr>
          <w:noProof/>
          <w:lang w:eastAsia="fr-FR"/>
        </w:rPr>
        <w:drawing>
          <wp:inline distT="0" distB="0" distL="0" distR="0">
            <wp:extent cx="3886200" cy="24674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12" cy="2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A0" w:rsidRDefault="002336A0">
      <w:r>
        <w:rPr>
          <w:noProof/>
          <w:lang w:eastAsia="fr-FR"/>
        </w:rPr>
        <w:drawing>
          <wp:inline distT="0" distB="0" distL="0" distR="0">
            <wp:extent cx="3805238" cy="932409"/>
            <wp:effectExtent l="0" t="0" r="508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075" cy="9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2B" w:rsidRDefault="009B5921" w:rsidP="009B5921">
      <w:pPr>
        <w:pStyle w:val="Paragraphedeliste"/>
        <w:numPr>
          <w:ilvl w:val="0"/>
          <w:numId w:val="7"/>
        </w:numPr>
      </w:pPr>
      <w:r>
        <w:t>Dans nos 83 EHPAD, 9236 résidents, l</w:t>
      </w:r>
      <w:r w:rsidR="00CB772B">
        <w:t xml:space="preserve">e pourcentage de décès le plus important de 31 % est </w:t>
      </w:r>
      <w:r>
        <w:t>représen</w:t>
      </w:r>
      <w:r w:rsidR="00CB772B">
        <w:t>té par la classe d’âge 90- 94 ans en 2019, 30% en 2020 ! comme vous pouvez le voir</w:t>
      </w:r>
      <w:r>
        <w:t xml:space="preserve"> </w:t>
      </w:r>
      <w:proofErr w:type="spellStart"/>
      <w:r>
        <w:t>ci dessous</w:t>
      </w:r>
      <w:proofErr w:type="spellEnd"/>
      <w:r w:rsidR="00CB772B">
        <w:t>.</w:t>
      </w:r>
    </w:p>
    <w:p w:rsidR="00CB772B" w:rsidRDefault="00CB772B">
      <w:r>
        <w:t xml:space="preserve">Les 85 – 89 ans représentent 23% des décès en 2019 et 23% en 2020 ; </w:t>
      </w:r>
    </w:p>
    <w:p w:rsidR="00CB772B" w:rsidRDefault="00CB772B">
      <w:r>
        <w:t>Les 80 – 84 ans représentent 10% d</w:t>
      </w:r>
      <w:r w:rsidR="009B5921">
        <w:t xml:space="preserve">es décès en 2019 et 10% en 2020. </w:t>
      </w:r>
    </w:p>
    <w:p w:rsidR="00CB772B" w:rsidRDefault="00CB772B">
      <w:r>
        <w:rPr>
          <w:noProof/>
          <w:lang w:eastAsia="fr-FR"/>
        </w:rPr>
        <w:drawing>
          <wp:inline distT="0" distB="0" distL="0" distR="0">
            <wp:extent cx="5329858" cy="3081655"/>
            <wp:effectExtent l="0" t="0" r="444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91" cy="308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2B" w:rsidRDefault="00CB772B"/>
    <w:p w:rsidR="00CB772B" w:rsidRDefault="00CB772B">
      <w:r>
        <w:t>Ceci est extrêmement rassurant et permet de dire que le virus n’a pas eu d’action</w:t>
      </w:r>
      <w:r w:rsidR="009B5921">
        <w:t>, d’impact</w:t>
      </w:r>
      <w:r>
        <w:t xml:space="preserve"> de surmortalité chez les plus jeunes</w:t>
      </w:r>
      <w:r w:rsidR="004045DA">
        <w:t>, en EHPAD</w:t>
      </w:r>
      <w:r>
        <w:t xml:space="preserve"> ! Plus on est vieux plus, on meurt… </w:t>
      </w:r>
    </w:p>
    <w:p w:rsidR="004045DA" w:rsidRDefault="004045DA">
      <w:r>
        <w:t xml:space="preserve">Alors vous me direz, ce sont les </w:t>
      </w:r>
      <w:r w:rsidR="00B94894">
        <w:t>mesures</w:t>
      </w:r>
      <w:r>
        <w:t xml:space="preserve"> barrières…</w:t>
      </w:r>
    </w:p>
    <w:p w:rsidR="004045DA" w:rsidRDefault="004045DA">
      <w:r>
        <w:t>Et bien non !</w:t>
      </w:r>
    </w:p>
    <w:p w:rsidR="004045DA" w:rsidRDefault="004045DA" w:rsidP="00741B32">
      <w:pPr>
        <w:pStyle w:val="Paragraphedeliste"/>
        <w:numPr>
          <w:ilvl w:val="0"/>
          <w:numId w:val="6"/>
        </w:numPr>
      </w:pPr>
      <w:r>
        <w:t>Regardez sur nos 83 EHPAD répa</w:t>
      </w:r>
      <w:r w:rsidR="00741B32">
        <w:t>r</w:t>
      </w:r>
      <w:r>
        <w:t>tis de manière aléatoire sur tout le territoire français, notre mortalité moyenne par établissement est de 19 décès par an</w:t>
      </w:r>
      <w:r w:rsidR="009B5921">
        <w:t xml:space="preserve"> (1604 décès / 83 EHPAD)</w:t>
      </w:r>
      <w:r>
        <w:t xml:space="preserve">. </w:t>
      </w:r>
    </w:p>
    <w:p w:rsidR="009B5921" w:rsidRDefault="009B5921" w:rsidP="009B5921">
      <w:pPr>
        <w:pStyle w:val="Paragraphedeliste"/>
      </w:pPr>
      <w:r w:rsidRPr="009B5921">
        <w:rPr>
          <w:noProof/>
          <w:lang w:eastAsia="fr-FR"/>
        </w:rPr>
        <w:drawing>
          <wp:inline distT="0" distB="0" distL="0" distR="0" wp14:anchorId="1AF914B9" wp14:editId="609CC1B1">
            <wp:extent cx="1038082" cy="1338262"/>
            <wp:effectExtent l="0" t="0" r="0" b="0"/>
            <wp:docPr id="143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8" cy="137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DA" w:rsidRDefault="004045DA">
      <w:r>
        <w:t>En 2019, nous avions déjà de la « sur »mortalité dans un grand nombre d’EHPAD (</w:t>
      </w:r>
      <w:r w:rsidR="00741B32">
        <w:t>bâtonnet</w:t>
      </w:r>
      <w:r>
        <w:t xml:space="preserve"> bleu</w:t>
      </w:r>
      <w:r w:rsidR="009B5921">
        <w:t xml:space="preserve"> </w:t>
      </w:r>
      <w:proofErr w:type="spellStart"/>
      <w:r w:rsidR="009B5921">
        <w:t>ci dessous</w:t>
      </w:r>
      <w:proofErr w:type="spellEnd"/>
      <w:r w:rsidR="009B5921">
        <w:t xml:space="preserve"> jusqu’à 50 décès</w:t>
      </w:r>
      <w:r>
        <w:t xml:space="preserve">). </w:t>
      </w:r>
    </w:p>
    <w:p w:rsidR="004045DA" w:rsidRDefault="004045DA">
      <w:r>
        <w:t xml:space="preserve">En 2020, </w:t>
      </w:r>
      <w:r w:rsidR="00741B32">
        <w:t>il y a la moitié des EHPAD où il y a de la « sous » mortalité &lt; à19, la moitié avec « sur »mortalité &gt; à 19</w:t>
      </w:r>
    </w:p>
    <w:p w:rsidR="00741B32" w:rsidRDefault="00741B32">
      <w:r>
        <w:t>C’</w:t>
      </w:r>
      <w:r w:rsidR="009B5921">
        <w:t>est ce qui est appelé</w:t>
      </w:r>
      <w:r>
        <w:t xml:space="preserve"> l’effet moisson ou f</w:t>
      </w:r>
      <w:r w:rsidR="009B5921">
        <w:t>auchage comme mentionné dans de très beaux</w:t>
      </w:r>
      <w:r>
        <w:t xml:space="preserve"> écrits des professeurs Toubiana et Toussaint.</w:t>
      </w:r>
    </w:p>
    <w:p w:rsidR="00741B32" w:rsidRDefault="00741B32">
      <w:r>
        <w:rPr>
          <w:noProof/>
          <w:lang w:eastAsia="fr-FR"/>
        </w:rPr>
        <w:drawing>
          <wp:inline distT="0" distB="0" distL="0" distR="0">
            <wp:extent cx="3376612" cy="210312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47" cy="21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7B" w:rsidRDefault="00DD2E7B" w:rsidP="00741B32">
      <w:pPr>
        <w:pStyle w:val="Paragraphedeliste"/>
        <w:numPr>
          <w:ilvl w:val="0"/>
          <w:numId w:val="5"/>
        </w:numPr>
      </w:pPr>
      <w:r>
        <w:t>Le point peut être le plus épineux est notre mortalité</w:t>
      </w:r>
      <w:r w:rsidR="00CB772B">
        <w:t xml:space="preserve"> au mois d’avril 2020 !</w:t>
      </w:r>
    </w:p>
    <w:p w:rsidR="00CB772B" w:rsidRDefault="00CB772B">
      <w:r>
        <w:t xml:space="preserve">Nous n’avions pas d’excès de décès au mois de mars (-3) et à peine au mois de mai (+7). </w:t>
      </w:r>
    </w:p>
    <w:p w:rsidR="00CB772B" w:rsidRDefault="00CB772B">
      <w:pPr>
        <w:rPr>
          <w:noProof/>
          <w:lang w:eastAsia="fr-FR"/>
        </w:rPr>
      </w:pPr>
      <w:r>
        <w:t>Hors nous avons eu un excès de décès extrêmement important au mois d’avril : + 76 en numéraire et +76% de décès par rapport à 2020 !</w:t>
      </w:r>
    </w:p>
    <w:p w:rsidR="00CB772B" w:rsidRDefault="00CB772B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53100" cy="28816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2B" w:rsidRDefault="00CB772B">
      <w:pPr>
        <w:rPr>
          <w:noProof/>
          <w:lang w:eastAsia="fr-FR"/>
        </w:rPr>
      </w:pPr>
      <w:r>
        <w:rPr>
          <w:noProof/>
          <w:lang w:eastAsia="fr-FR"/>
        </w:rPr>
        <w:t>Aucune épidémie n’a jamais eu d’augmentation aussi brutale et d’arret auss</w:t>
      </w:r>
      <w:r w:rsidR="009B5921">
        <w:rPr>
          <w:noProof/>
          <w:lang w:eastAsia="fr-FR"/>
        </w:rPr>
        <w:t>i brutal</w:t>
      </w:r>
      <w:r w:rsidR="008E5F9E">
        <w:rPr>
          <w:noProof/>
          <w:lang w:eastAsia="fr-FR"/>
        </w:rPr>
        <w:t xml:space="preserve"> en terme de mortalité, comme en témoigne un graphique de l’OMS</w:t>
      </w:r>
      <w:r w:rsidR="009B5921">
        <w:rPr>
          <w:noProof/>
          <w:lang w:eastAsia="fr-FR"/>
        </w:rPr>
        <w:t xml:space="preserve"> ci dessous</w:t>
      </w:r>
      <w:r w:rsidR="008E5F9E">
        <w:rPr>
          <w:noProof/>
          <w:lang w:eastAsia="fr-FR"/>
        </w:rPr>
        <w:t>.</w:t>
      </w:r>
      <w:r w:rsidR="009B5921">
        <w:rPr>
          <w:noProof/>
          <w:lang w:eastAsia="fr-FR"/>
        </w:rPr>
        <w:t xml:space="preserve"> </w:t>
      </w:r>
    </w:p>
    <w:p w:rsidR="00CB772B" w:rsidRDefault="00CB772B">
      <w:r>
        <w:rPr>
          <w:noProof/>
          <w:lang w:eastAsia="fr-FR"/>
        </w:rPr>
        <w:drawing>
          <wp:inline distT="0" distB="0" distL="0" distR="0" wp14:anchorId="26109915" wp14:editId="65CD766B">
            <wp:extent cx="3077698" cy="133350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93" cy="13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AE" w:rsidRPr="008E5F9E" w:rsidRDefault="008E5F9E" w:rsidP="008E5F9E">
      <w:r>
        <w:t>Alors j’ai posé les hypothèses suivantes sur l’imputabilité</w:t>
      </w:r>
      <w:r w:rsidR="009B5921">
        <w:t xml:space="preserve"> (la cause) des décès :</w:t>
      </w:r>
      <w:r>
        <w:t xml:space="preserve"> des éléments peuvent être </w:t>
      </w:r>
      <w:proofErr w:type="gramStart"/>
      <w:r>
        <w:t>avancé</w:t>
      </w:r>
      <w:proofErr w:type="gramEnd"/>
      <w:r>
        <w:t xml:space="preserve"> dès maintenant !</w:t>
      </w:r>
    </w:p>
    <w:p w:rsidR="004171AE" w:rsidRPr="008E5F9E" w:rsidRDefault="008E5F9E" w:rsidP="008E5F9E">
      <w:pPr>
        <w:numPr>
          <w:ilvl w:val="0"/>
          <w:numId w:val="2"/>
        </w:numPr>
      </w:pPr>
      <w:r w:rsidRPr="008E5F9E">
        <w:t xml:space="preserve">Imputabilité au </w:t>
      </w:r>
      <w:proofErr w:type="spellStart"/>
      <w:r w:rsidR="00122910" w:rsidRPr="008E5F9E">
        <w:rPr>
          <w:b/>
        </w:rPr>
        <w:t>Papy boom</w:t>
      </w:r>
      <w:proofErr w:type="spellEnd"/>
      <w:r w:rsidR="00122910" w:rsidRPr="008E5F9E">
        <w:rPr>
          <w:b/>
          <w:bCs/>
        </w:rPr>
        <w:t xml:space="preserve"> </w:t>
      </w:r>
      <w:r w:rsidR="00122910" w:rsidRPr="008E5F9E">
        <w:t xml:space="preserve">en âge de mourir de 2010 à 2019 : </w:t>
      </w:r>
    </w:p>
    <w:p w:rsidR="008E5F9E" w:rsidRPr="008E5F9E" w:rsidRDefault="008E5F9E" w:rsidP="008E5F9E">
      <w:proofErr w:type="gramStart"/>
      <w:r w:rsidRPr="008E5F9E">
        <w:t>de</w:t>
      </w:r>
      <w:proofErr w:type="gramEnd"/>
      <w:r w:rsidRPr="008E5F9E">
        <w:t xml:space="preserve"> 551 000 à 612 000 soit + 61 000 décès, soit sur 10 ans </w:t>
      </w:r>
      <w:r w:rsidRPr="008E5F9E">
        <w:rPr>
          <w:b/>
          <w:bCs/>
        </w:rPr>
        <w:t>+ 6 100 DC / an : EVIDENT</w:t>
      </w:r>
    </w:p>
    <w:p w:rsidR="004171AE" w:rsidRPr="008E5F9E" w:rsidRDefault="00122910" w:rsidP="008E5F9E">
      <w:pPr>
        <w:numPr>
          <w:ilvl w:val="0"/>
          <w:numId w:val="3"/>
        </w:numPr>
      </w:pPr>
      <w:r w:rsidRPr="008E5F9E">
        <w:t>Imputabilité liée à la</w:t>
      </w:r>
      <w:r w:rsidRPr="008E5F9E">
        <w:rPr>
          <w:b/>
          <w:bCs/>
        </w:rPr>
        <w:t xml:space="preserve"> classe d'âge EVIDENT</w:t>
      </w:r>
      <w:r w:rsidR="008E5F9E">
        <w:rPr>
          <w:b/>
          <w:bCs/>
        </w:rPr>
        <w:t xml:space="preserve"> et au GIR</w:t>
      </w:r>
      <w:r w:rsidRPr="008E5F9E">
        <w:rPr>
          <w:b/>
          <w:bCs/>
        </w:rPr>
        <w:t xml:space="preserve"> certainement (data GIR pas disponible…)</w:t>
      </w:r>
    </w:p>
    <w:p w:rsidR="004171AE" w:rsidRPr="008E5F9E" w:rsidRDefault="00122910" w:rsidP="008E5F9E">
      <w:pPr>
        <w:numPr>
          <w:ilvl w:val="0"/>
          <w:numId w:val="3"/>
        </w:numPr>
      </w:pPr>
      <w:r w:rsidRPr="008E5F9E">
        <w:t xml:space="preserve">imputabilité au virus, </w:t>
      </w:r>
      <w:r w:rsidRPr="008E5F9E">
        <w:rPr>
          <w:b/>
          <w:bCs/>
        </w:rPr>
        <w:t>probable</w:t>
      </w:r>
    </w:p>
    <w:p w:rsidR="004171AE" w:rsidRPr="008E5F9E" w:rsidRDefault="008E5F9E" w:rsidP="008E5F9E">
      <w:pPr>
        <w:numPr>
          <w:ilvl w:val="0"/>
          <w:numId w:val="3"/>
        </w:numPr>
      </w:pPr>
      <w:r>
        <w:t xml:space="preserve">imputabilité </w:t>
      </w:r>
      <w:r w:rsidR="00122910" w:rsidRPr="008E5F9E">
        <w:t xml:space="preserve">à d'autres </w:t>
      </w:r>
      <w:r w:rsidR="00122910" w:rsidRPr="008E5F9E">
        <w:rPr>
          <w:b/>
          <w:bCs/>
        </w:rPr>
        <w:t xml:space="preserve">causes liées aux conditions </w:t>
      </w:r>
      <w:r>
        <w:rPr>
          <w:b/>
          <w:bCs/>
        </w:rPr>
        <w:t xml:space="preserve">de </w:t>
      </w:r>
      <w:r w:rsidR="00122910" w:rsidRPr="008E5F9E">
        <w:rPr>
          <w:b/>
          <w:bCs/>
        </w:rPr>
        <w:t xml:space="preserve">mise en place </w:t>
      </w:r>
      <w:r w:rsidR="00122910" w:rsidRPr="008E5F9E">
        <w:t xml:space="preserve">pour soi-disant protéger ces personnes ?? </w:t>
      </w:r>
      <w:r w:rsidR="00122910" w:rsidRPr="008E5F9E">
        <w:rPr>
          <w:b/>
          <w:bCs/>
        </w:rPr>
        <w:t>Pas impossible!</w:t>
      </w:r>
    </w:p>
    <w:p w:rsidR="00337C0C" w:rsidRDefault="008E5F9E" w:rsidP="008E5F9E">
      <w:proofErr w:type="gramStart"/>
      <w:r w:rsidRPr="008E5F9E">
        <w:t>enfermement</w:t>
      </w:r>
      <w:proofErr w:type="gramEnd"/>
      <w:r w:rsidRPr="008E5F9E">
        <w:t xml:space="preserve"> en chambre,</w:t>
      </w:r>
      <w:r w:rsidR="009B5921">
        <w:t xml:space="preserve"> contention au lit, arrêt des activités physiques, des soins coiffeur,</w:t>
      </w:r>
      <w:r w:rsidRPr="008E5F9E">
        <w:t xml:space="preserve"> coupure des liens sociaux, familiaux, instauration d'un cercle vicieux </w:t>
      </w:r>
      <w:proofErr w:type="spellStart"/>
      <w:r w:rsidRPr="008E5F9E">
        <w:t>dépressiogène</w:t>
      </w:r>
      <w:proofErr w:type="spellEnd"/>
      <w:r w:rsidRPr="008E5F9E">
        <w:t xml:space="preserve"> et anxieux, syndrome de glissement, arrêt des contacts peau à peau dans les soins (peau versus gant), arrêt des interactions sociales spontanées liés à l'absence d'expression faciale, </w:t>
      </w:r>
    </w:p>
    <w:p w:rsidR="00337C0C" w:rsidRDefault="008E5F9E" w:rsidP="008E5F9E">
      <w:proofErr w:type="gramStart"/>
      <w:r w:rsidRPr="008E5F9E">
        <w:t>réduction</w:t>
      </w:r>
      <w:proofErr w:type="gramEnd"/>
      <w:r w:rsidRPr="008E5F9E">
        <w:t xml:space="preserve"> du périmètre de marche favorisant la survenue de thrombose veineuse phlébite (mise sur le compte du virus…), </w:t>
      </w:r>
    </w:p>
    <w:p w:rsidR="008E5F9E" w:rsidRDefault="008E5F9E" w:rsidP="008E5F9E">
      <w:proofErr w:type="gramStart"/>
      <w:r w:rsidRPr="008E5F9E">
        <w:lastRenderedPageBreak/>
        <w:t>fonte</w:t>
      </w:r>
      <w:proofErr w:type="gramEnd"/>
      <w:r w:rsidRPr="008E5F9E">
        <w:t xml:space="preserve"> musculaire accélérée avec diminution de l'immunité en rapport avec les protéines musculaires, iatrogénie médicamenteuse : saignement sous anticoagulation systématique, benzodiazépines ou neuroleptiques pour sédation, morphinique....</w:t>
      </w:r>
    </w:p>
    <w:p w:rsidR="008E5F9E" w:rsidRDefault="008E5F9E" w:rsidP="008E5F9E">
      <w:r>
        <w:t>Les témoignages en ce sens sont nombreux de familles et de médecins coordinateurs courageux.</w:t>
      </w:r>
    </w:p>
    <w:p w:rsidR="008E5F9E" w:rsidRDefault="008E5F9E" w:rsidP="008E5F9E"/>
    <w:p w:rsidR="00741B32" w:rsidRDefault="008E5F9E" w:rsidP="008E5F9E">
      <w:r>
        <w:t xml:space="preserve">Il est </w:t>
      </w:r>
      <w:r w:rsidRPr="00B94894">
        <w:rPr>
          <w:b/>
        </w:rPr>
        <w:t>URGENT de faire la lumière</w:t>
      </w:r>
      <w:r w:rsidR="00741B32" w:rsidRPr="00B94894">
        <w:rPr>
          <w:b/>
        </w:rPr>
        <w:t xml:space="preserve"> sur les chiffres </w:t>
      </w:r>
      <w:r w:rsidR="00B94894" w:rsidRPr="00B94894">
        <w:rPr>
          <w:b/>
        </w:rPr>
        <w:t xml:space="preserve">de mortalité </w:t>
      </w:r>
      <w:r w:rsidR="00741B32" w:rsidRPr="00B94894">
        <w:rPr>
          <w:b/>
        </w:rPr>
        <w:t>de tous les EHPAD de France</w:t>
      </w:r>
      <w:r w:rsidR="00741B32">
        <w:t xml:space="preserve"> ! </w:t>
      </w:r>
      <w:proofErr w:type="gramStart"/>
      <w:r w:rsidR="00741B32">
        <w:t>et</w:t>
      </w:r>
      <w:proofErr w:type="gramEnd"/>
      <w:r w:rsidR="00741B32">
        <w:t xml:space="preserve"> d’agréger les bases de données des grands groupes. </w:t>
      </w:r>
    </w:p>
    <w:p w:rsidR="008E5F9E" w:rsidRDefault="00741B32">
      <w:r>
        <w:t xml:space="preserve">Vous devez demander, « réquisitionner » ces données pour faire l’analyse comme je viens de vous la  montrer sur les </w:t>
      </w:r>
      <w:r w:rsidR="008E5F9E">
        <w:t xml:space="preserve"> </w:t>
      </w:r>
      <w:r>
        <w:t>7 200 EHPAD </w:t>
      </w:r>
    </w:p>
    <w:p w:rsidR="00741B32" w:rsidRDefault="00741B32">
      <w:r>
        <w:t xml:space="preserve">Si les mesures de confinement avec les mesures de contention et de sédation associée cumulé avec le manque criant de personnels en EHPAD sont plus délétères que l’inverse à savoir : sport, activité physique, liens sociaux, il est grand temps d’en faire l’analyse et de faire machine arrière ! </w:t>
      </w:r>
    </w:p>
    <w:p w:rsidR="00741B32" w:rsidRDefault="00741B32">
      <w:r>
        <w:t>Alors si vous voulez demander la démission de votre président et de votre ministre de la santé, je serais vous conseiller pour la suite !</w:t>
      </w:r>
    </w:p>
    <w:p w:rsidR="002F4EEE" w:rsidRDefault="002F4EEE">
      <w:pPr>
        <w:rPr>
          <w:b/>
          <w:bCs/>
        </w:rPr>
      </w:pPr>
      <w:r>
        <w:rPr>
          <w:b/>
          <w:bCs/>
        </w:rPr>
        <w:t xml:space="preserve">La Résistance passe aussi par vous, votre prise de conscience et votre prise de position. </w:t>
      </w:r>
    </w:p>
    <w:p w:rsidR="00741B32" w:rsidRDefault="00741B32">
      <w:bookmarkStart w:id="0" w:name="_GoBack"/>
      <w:bookmarkEnd w:id="0"/>
      <w:r>
        <w:t xml:space="preserve">J’espère que ce courrier de cet humble et courageux médecin qui a fait son analyse clinique, et épidémiologique de la situation, emportera votre conviction ou du moins vous interpellera profondément </w:t>
      </w:r>
      <w:r w:rsidR="00B94894">
        <w:t>jusqu’</w:t>
      </w:r>
      <w:r>
        <w:t>à me convoquer pour m’auditer !</w:t>
      </w:r>
    </w:p>
    <w:p w:rsidR="00741B32" w:rsidRPr="00B94894" w:rsidRDefault="00741B32">
      <w:pPr>
        <w:rPr>
          <w:b/>
        </w:rPr>
      </w:pPr>
      <w:r w:rsidRPr="00B94894">
        <w:rPr>
          <w:b/>
        </w:rPr>
        <w:t xml:space="preserve">Je vous salue, hommes et femmes de La République. Soyez courageux ! </w:t>
      </w:r>
    </w:p>
    <w:p w:rsidR="00741B32" w:rsidRDefault="00741B32">
      <w:r>
        <w:t>Demandez la transparence des chiffres de mortalité des EHPAD </w:t>
      </w:r>
      <w:r w:rsidR="00122910">
        <w:t>à La Fondation Partage et Vie et à tous les autres groupes d’EHPAD</w:t>
      </w:r>
      <w:r>
        <w:t>!</w:t>
      </w:r>
    </w:p>
    <w:p w:rsidR="00337C0C" w:rsidRPr="00337C0C" w:rsidRDefault="00337C0C">
      <w:pPr>
        <w:rPr>
          <w:b/>
        </w:rPr>
      </w:pPr>
      <w:r w:rsidRPr="00337C0C">
        <w:rPr>
          <w:b/>
        </w:rPr>
        <w:t>Si vous avez le courage</w:t>
      </w:r>
      <w:r>
        <w:rPr>
          <w:b/>
        </w:rPr>
        <w:t>,</w:t>
      </w:r>
      <w:r w:rsidRPr="00337C0C">
        <w:rPr>
          <w:b/>
        </w:rPr>
        <w:t xml:space="preserve"> écrivez à ma direction pour leur demander les chiffres</w:t>
      </w:r>
      <w:r>
        <w:rPr>
          <w:b/>
        </w:rPr>
        <w:t xml:space="preserve"> et</w:t>
      </w:r>
      <w:r w:rsidRPr="00337C0C">
        <w:rPr>
          <w:b/>
        </w:rPr>
        <w:t xml:space="preserve"> des explications !</w:t>
      </w:r>
    </w:p>
    <w:p w:rsidR="00337C0C" w:rsidRDefault="00337C0C" w:rsidP="00337C0C">
      <w:r>
        <w:t xml:space="preserve">DG Dominique Monneron </w:t>
      </w:r>
      <w:hyperlink r:id="rId14" w:history="1">
        <w:r w:rsidRPr="00BE654C">
          <w:rPr>
            <w:rStyle w:val="Lienhypertexte"/>
          </w:rPr>
          <w:t>dominique.monneron@fondationpartageetvie.org</w:t>
        </w:r>
      </w:hyperlink>
    </w:p>
    <w:p w:rsidR="00337C0C" w:rsidRPr="00337C0C" w:rsidRDefault="00337C0C" w:rsidP="0033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t>DRH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BE654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jean-marc.hary@fondationpartageetvie.org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37C0C" w:rsidRDefault="00337C0C" w:rsidP="00337C0C"/>
    <w:p w:rsidR="00741B32" w:rsidRDefault="00741B32">
      <w:r>
        <w:t>Vous en serez remercié</w:t>
      </w:r>
      <w:r w:rsidR="00337C0C">
        <w:t>, le peuple vous remerciera</w:t>
      </w:r>
      <w:r>
        <w:t>.</w:t>
      </w:r>
    </w:p>
    <w:p w:rsidR="00741B32" w:rsidRDefault="00741B32">
      <w:r>
        <w:t>Dr Denis AGRET, pour vous servir</w:t>
      </w:r>
    </w:p>
    <w:p w:rsidR="00337C0C" w:rsidRDefault="00337C0C"/>
    <w:p w:rsidR="00337C0C" w:rsidRDefault="00337C0C" w:rsidP="00337C0C">
      <w:r>
        <w:t xml:space="preserve">Directeur des Opérations Bruno </w:t>
      </w:r>
      <w:proofErr w:type="spellStart"/>
      <w:r>
        <w:t>Doerler</w:t>
      </w:r>
      <w:proofErr w:type="spellEnd"/>
      <w:r>
        <w:t xml:space="preserve"> Bruno.Doerler@fondationpartageetvie.org</w:t>
      </w:r>
    </w:p>
    <w:p w:rsidR="00337C0C" w:rsidRDefault="00337C0C" w:rsidP="00337C0C">
      <w:r>
        <w:t xml:space="preserve">Directeurs territoriaux </w:t>
      </w:r>
    </w:p>
    <w:p w:rsidR="00337C0C" w:rsidRDefault="00337C0C" w:rsidP="00337C0C">
      <w:r>
        <w:t>Eric.DALANCON@fondationpartageetvie.org</w:t>
      </w:r>
    </w:p>
    <w:p w:rsidR="00337C0C" w:rsidRDefault="00337C0C" w:rsidP="00337C0C">
      <w:r>
        <w:t>Yves.JEANGEORGES@fondationpartageetvie.org</w:t>
      </w:r>
    </w:p>
    <w:p w:rsidR="00337C0C" w:rsidRDefault="00337C0C" w:rsidP="00337C0C">
      <w:r>
        <w:t>Jean-Claude.Gerard@fondationpartageetvie.org</w:t>
      </w:r>
    </w:p>
    <w:p w:rsidR="00337C0C" w:rsidRDefault="00337C0C" w:rsidP="00337C0C">
      <w:r>
        <w:t>Lionel.LOREAUX@fondationpartageetvie.org</w:t>
      </w:r>
    </w:p>
    <w:p w:rsidR="00337C0C" w:rsidRDefault="002F4EEE" w:rsidP="00337C0C">
      <w:hyperlink r:id="rId16" w:history="1">
        <w:r w:rsidR="00337C0C" w:rsidRPr="00BE654C">
          <w:rPr>
            <w:rStyle w:val="Lienhypertexte"/>
          </w:rPr>
          <w:t>Francoise.GAUCHARD-ROBIN@fondationpartageetvie.org</w:t>
        </w:r>
      </w:hyperlink>
    </w:p>
    <w:p w:rsidR="00337C0C" w:rsidRPr="00337C0C" w:rsidRDefault="00337C0C" w:rsidP="0033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Représentants du 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comité d’entreprise</w:t>
      </w:r>
    </w:p>
    <w:p w:rsidR="00337C0C" w:rsidRDefault="002F4EEE" w:rsidP="0033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="00337C0C" w:rsidRPr="00BE654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sandra.zlotnik@fondationpartageetvie.org</w:t>
        </w:r>
      </w:hyperlink>
    </w:p>
    <w:p w:rsidR="00337C0C" w:rsidRDefault="002F4EEE" w:rsidP="0033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="00337C0C" w:rsidRPr="00BE654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gilles.parouty@fondationpartageetvie.org</w:t>
        </w:r>
      </w:hyperlink>
    </w:p>
    <w:p w:rsidR="00337C0C" w:rsidRPr="00337C0C" w:rsidRDefault="00337C0C" w:rsidP="0033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t>adeline.cousty@fondationpartageetvie.org</w:t>
      </w:r>
    </w:p>
    <w:p w:rsidR="00337C0C" w:rsidRDefault="00337C0C" w:rsidP="00337C0C">
      <w:r>
        <w:t xml:space="preserve">Georges </w:t>
      </w:r>
      <w:proofErr w:type="spellStart"/>
      <w:r>
        <w:t>Ajagaya</w:t>
      </w:r>
      <w:proofErr w:type="spellEnd"/>
      <w:r>
        <w:t xml:space="preserve"> </w:t>
      </w:r>
      <w:hyperlink r:id="rId19" w:history="1">
        <w:r w:rsidRPr="00BE654C">
          <w:rPr>
            <w:rStyle w:val="Lienhypertexte"/>
          </w:rPr>
          <w:t>Georges.AJAGAYA-LE-BEAU@fondationpartageetvie.org</w:t>
        </w:r>
      </w:hyperlink>
    </w:p>
    <w:p w:rsidR="00337C0C" w:rsidRDefault="00337C0C" w:rsidP="0033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7C0C" w:rsidRPr="00337C0C" w:rsidRDefault="00337C0C" w:rsidP="0033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+ </w:t>
      </w:r>
      <w:proofErr w:type="gramStart"/>
      <w:r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t>me</w:t>
      </w:r>
      <w:proofErr w:type="gramEnd"/>
      <w:r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mettre en copie dr.agret.denis@hotmail.com</w:t>
      </w:r>
    </w:p>
    <w:p w:rsidR="00337C0C" w:rsidRDefault="00337C0C" w:rsidP="00337C0C"/>
    <w:p w:rsidR="00337C0C" w:rsidRDefault="00337C0C" w:rsidP="00337C0C">
      <w:r w:rsidRPr="00337C0C">
        <w:t>Dominique.MONNERON@fondationpartageetvie.org;</w:t>
      </w:r>
      <w:r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0" w:history="1">
        <w:r w:rsidRPr="00BE654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jean-marc.hary@fondationpartageetvie.org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r w:rsidRPr="00337C0C">
        <w:t>Bruno.Do</w:t>
      </w:r>
      <w:r>
        <w:t>erler@fondationpartageetvie.org</w:t>
      </w:r>
      <w:r w:rsidRPr="00337C0C">
        <w:t>;Yves.JEANGEORGES@fondationpartageetvie.org;Eric.DALANCON@fondationpartageetvie.org;Lionel.LOREAUX@fondationpartageetvie.org;Francoise.GAUCHARD-ROBIN@fondationpartageetvie.org;Sandra.ZL</w:t>
      </w:r>
      <w:r w:rsidR="00F93605">
        <w:t>OTNIK@fondationpartageetvie.org;</w:t>
      </w:r>
      <w:r w:rsidRPr="00337C0C">
        <w:t>Georges.AJAGAYA-LE-BEAU@fondationpartageetvie.org</w:t>
      </w:r>
      <w:r w:rsidR="00F93605">
        <w:t>;</w:t>
      </w:r>
      <w:r w:rsidR="00F93605" w:rsidRPr="00337C0C">
        <w:rPr>
          <w:rFonts w:ascii="Times New Roman" w:eastAsia="Times New Roman" w:hAnsi="Times New Roman" w:cs="Times New Roman"/>
          <w:sz w:val="24"/>
          <w:szCs w:val="24"/>
          <w:lang w:eastAsia="fr-FR"/>
        </w:rPr>
        <w:t>dr.agret.denis@hotmail.com</w:t>
      </w:r>
    </w:p>
    <w:p w:rsidR="00741B32" w:rsidRDefault="00741B32"/>
    <w:sectPr w:rsidR="0074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8D2"/>
    <w:multiLevelType w:val="hybridMultilevel"/>
    <w:tmpl w:val="031816E0"/>
    <w:lvl w:ilvl="0" w:tplc="0ABC1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B4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0E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02C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4B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C92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8C9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C6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A3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0284"/>
    <w:multiLevelType w:val="hybridMultilevel"/>
    <w:tmpl w:val="6F00AE22"/>
    <w:lvl w:ilvl="0" w:tplc="F5E0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82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27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4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2F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ED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24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D8768C"/>
    <w:multiLevelType w:val="hybridMultilevel"/>
    <w:tmpl w:val="B9129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688C"/>
    <w:multiLevelType w:val="hybridMultilevel"/>
    <w:tmpl w:val="2046A11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992159"/>
    <w:multiLevelType w:val="hybridMultilevel"/>
    <w:tmpl w:val="1AC2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300F"/>
    <w:multiLevelType w:val="hybridMultilevel"/>
    <w:tmpl w:val="E7BE0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B7A"/>
    <w:multiLevelType w:val="hybridMultilevel"/>
    <w:tmpl w:val="874CDC88"/>
    <w:lvl w:ilvl="0" w:tplc="11A8E0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0B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85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A1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404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2A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63D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6C1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0E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1849"/>
    <w:multiLevelType w:val="hybridMultilevel"/>
    <w:tmpl w:val="CB32D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8F"/>
    <w:rsid w:val="00122910"/>
    <w:rsid w:val="002336A0"/>
    <w:rsid w:val="002F4EEE"/>
    <w:rsid w:val="00337C0C"/>
    <w:rsid w:val="00401D75"/>
    <w:rsid w:val="004045DA"/>
    <w:rsid w:val="004171AE"/>
    <w:rsid w:val="00681CD7"/>
    <w:rsid w:val="00741B32"/>
    <w:rsid w:val="00784594"/>
    <w:rsid w:val="008E1A8F"/>
    <w:rsid w:val="008E5F9E"/>
    <w:rsid w:val="009B5921"/>
    <w:rsid w:val="00B94894"/>
    <w:rsid w:val="00CB772B"/>
    <w:rsid w:val="00CF7B1C"/>
    <w:rsid w:val="00DD2E7B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CC36-D1D1-4643-81D4-846133C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C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gilles.parouty@fondationpartageetvie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sandra.zlotnik@fondationpartageetvi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oise.GAUCHARD-ROBIN@fondationpartageetvie.org" TargetMode="External"/><Relationship Id="rId20" Type="http://schemas.openxmlformats.org/officeDocument/2006/relationships/hyperlink" Target="mailto:jean-marc.hary@fondationpartageetvi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insee.fr/fr/statistiques/4931039?sommaire=4487854" TargetMode="External"/><Relationship Id="rId15" Type="http://schemas.openxmlformats.org/officeDocument/2006/relationships/hyperlink" Target="mailto:jean-marc.hary@fondationpartageetvie.org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Georges.AJAGAYA-LE-BEAU@fondationpartageetvi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dominique.monneron@fondationpartageetvi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1510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2021-01-12T14:20:00Z</dcterms:created>
  <dcterms:modified xsi:type="dcterms:W3CDTF">2021-01-13T05:43:00Z</dcterms:modified>
</cp:coreProperties>
</file>